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ина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>, часть 9 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15.09.2020 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2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  <w:bookmarkStart w:id="0" w:name="_GoBack"/>
      <w:bookmarkEnd w:id="0"/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286" w:rsidRDefault="00CB2286" w:rsidP="00346C02">
      <w:pPr>
        <w:spacing w:after="0" w:line="240" w:lineRule="auto"/>
      </w:pPr>
      <w:r>
        <w:separator/>
      </w:r>
    </w:p>
  </w:endnote>
  <w:endnote w:type="continuationSeparator" w:id="1">
    <w:p w:rsidR="00CB2286" w:rsidRDefault="00CB2286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286" w:rsidRDefault="00CB2286" w:rsidP="00346C02">
      <w:pPr>
        <w:spacing w:after="0" w:line="240" w:lineRule="auto"/>
      </w:pPr>
      <w:r>
        <w:separator/>
      </w:r>
    </w:p>
  </w:footnote>
  <w:footnote w:type="continuationSeparator" w:id="1">
    <w:p w:rsidR="00CB2286" w:rsidRDefault="00CB2286" w:rsidP="00346C02">
      <w:pPr>
        <w:spacing w:after="0" w:line="240" w:lineRule="auto"/>
      </w:pPr>
      <w:r>
        <w:continuationSeparator/>
      </w:r>
    </w:p>
  </w:footnote>
  <w:footnote w:id="2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637206"/>
      <w:docPartObj>
        <w:docPartGallery w:val="Page Numbers (Top of Page)"/>
        <w:docPartUnique/>
      </w:docPartObj>
    </w:sdtPr>
    <w:sdtContent>
      <w:p w:rsidR="00BB2202" w:rsidRDefault="00891493">
        <w:pPr>
          <w:pStyle w:val="a6"/>
          <w:jc w:val="center"/>
        </w:pPr>
        <w:r>
          <w:fldChar w:fldCharType="begin"/>
        </w:r>
        <w:r w:rsidR="00BB2202">
          <w:instrText>PAGE   \* MERGEFORMAT</w:instrText>
        </w:r>
        <w:r>
          <w:fldChar w:fldCharType="separate"/>
        </w:r>
        <w:r w:rsidR="00083000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9A3"/>
    <w:rsid w:val="000502D5"/>
    <w:rsid w:val="00083000"/>
    <w:rsid w:val="000836E2"/>
    <w:rsid w:val="0009242B"/>
    <w:rsid w:val="002335C7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32E19"/>
    <w:rsid w:val="00772B3B"/>
    <w:rsid w:val="007B1960"/>
    <w:rsid w:val="00891493"/>
    <w:rsid w:val="008C3AED"/>
    <w:rsid w:val="008D7E76"/>
    <w:rsid w:val="00AE33EB"/>
    <w:rsid w:val="00BB2202"/>
    <w:rsid w:val="00BD2565"/>
    <w:rsid w:val="00CB2286"/>
    <w:rsid w:val="00E763D8"/>
    <w:rsid w:val="00FF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E61A-666C-4FFD-8088-A3E9D0D5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Директор</cp:lastModifiedBy>
  <cp:revision>2</cp:revision>
  <dcterms:created xsi:type="dcterms:W3CDTF">2020-10-06T05:15:00Z</dcterms:created>
  <dcterms:modified xsi:type="dcterms:W3CDTF">2020-10-06T05:15:00Z</dcterms:modified>
</cp:coreProperties>
</file>